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37da3f8781e4ef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21535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SREDNJA ŠKOLA SLUNJ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1.012.214,66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1.072.139,97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1.000.741,23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1.136.352,10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64.212,13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10.663,43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13.020,37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77.232,50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31. prosinca 2025. prihodi poslovanja ostvareni su u iznosu od 1.072.139,97 EUR. Najznačajnije povećanje prihoda poslovanja ostvareno je iz decentraliziranih sredstava Osnivača te tekućih donacija realiziranih apliciranjem na projekte. Rashodi poslovanja u razdoblju od 1. siječnja do 31. prosinca 2025. ostvareni su u iznosu od 1.136.352,10 EUR. Najznačajnije povećanje rashoda evidentirano je na rashodima za plaće, tekuće i investicijsko održavanje, pristojbe i naknade te zdravstvene i veterinarske usluge. Najznačajnije smanjenje rashoda poslovanja bilježi se na rashodima za energiju, naknadama za prijevoz zaposlenika i ostalim rashodima za zaposlene zbog oscilacija broja zaposlenika koji ostvaruju pravo na naknadu troškova prijevoza, manja potreba za nabavom lož ulja. Također manji broj djelatnika je ostvario pravo na materijalna prava (jubilarne nagrade te ostale pomoći i potpore). U navedenom razdoblju nije bilo ostvarenih prihoda od prodaje nefinancijske imovine dok su rashodi za nabavu nefinancijske imovine ostvareni u iznosu od 13.020,37 EUR. Navedeni rashodi odnose se na nabavu opreme za kvalitetnije izvođenje nastavnog procesa (računalna oprema). U navedenom razdoblju nije bilo ostvarenih primitaka i izdataka od financijske imovine i zaduženja. U razdoblju od 1. siječnja do 31. prosinca 2025. ostvaren je manjak prihoda i primitaka u iznosu od 64.212,13 EUR,  manjak prihoda od nefinancijske imovine u iznosu od 13.020,37 EUR, slijedom čega je na kraju izvještajnog razdoblja ostvaren ukupan manjak prihoda i primitaka od 77.232,50 EUR. Manjak prihoda i primitaka sastoji se najvećim dijelom od plaće za zaposlene te od rashoda za račune vezane uz prosinac 2025. koji još nisu dospjeli na plaćanje. Na temelju analize predbilance glavne knjige utvrđen je metodološki višak na kontu 97- obračunati prihodi od prodaje nefinancijske imovine u iznosu od 0,01 EUR koji proizlazi iz procesa konverzije kune u euro. Navedeno je odlukom ravnatelja prebačeno s konta 97- obračunati prihodi od prodaje nefinancijske imovine na konto 922-rezultat višak/manjak. U 2025. smo izvršili povrat sredstava koja su nam uplaćena u 2024. u iznosu od 1.350,93 EUR, a koja su bila namijenjena za provedbu prve faze projekta „Program ulaganja u zajednicu“. Sredstva su Odlukom o raspodjeli viška iz prethodnih godina prenesena u 2025. unutar skupine 922.</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Navedeni iznos odnosi se na sredstva koja je Škola ostvarila sudjelovanjem kao partner na projektu s Tehničkom školom Karlovac RCK "Struka i ja" i RCK "Karijera i ti. Sredstva su uplaćena krajem 2024. nakon što je projekt završio te su Odlukom o raspodjeli viška iz prethodnih godina prenesena u 2025..</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535,7</w:t>
            </w:r>
          </w:p>
        </w:tc>
      </w:tr>
    </w:tbl>
    <w:p>
      <w:pPr>
        <w:spacing w:before="0" w:after="0"/>
      </w:pPr>
    </w:p>
    <w:p>
      <w:r>
        <w:t xml:space="preserve">Značajno povećanje tekućih donacija odnosi se na tekuće donacije realiziranih apliciranjem na projekte. Prihodi od apliciranog projekta "Program ulaganja u zajednicu" provodi se u više faza. Projekt se nastavio i u 2025. te nam je za realizaciju inicijative "Učionica na otvorenom" osigurano 10.000,00 eura. Preostali iznos od 270,00 eura odnosi se na donaciju lokalnog poduzetnika za nabavu razglasa.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147.090,86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174.358,34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w:t>
            </w:r>
          </w:p>
        </w:tc>
      </w:tr>
    </w:tbl>
    <w:p>
      <w:pPr>
        <w:spacing w:before="0" w:after="0"/>
      </w:pPr>
    </w:p>
    <w:p>
      <w:r>
        <w:t xml:space="preserve">Odnosi se na decentralizirana sredstva Osnivača za pokriće rashoda poslovanja za nesmetano odvijanje poslovnih procesa. Razlog povećanja je porast cijena materijala i srirovina na svjetskom tržištu što rezultira porastom cijena roba i usluga.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220,6</w:t>
            </w:r>
          </w:p>
        </w:tc>
      </w:tr>
    </w:tbl>
    <w:p>
      <w:pPr>
        <w:spacing w:before="0" w:after="0"/>
      </w:pPr>
    </w:p>
    <w:p>
      <w:r>
        <w:t xml:space="preserve">Odnosi se na sredstva nadležnog proračuna namijenjena za nabavu lektirne građe te čitalačih kodova za kupnju licenci iz engleskog jezika.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720.793,56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830.460,75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bl>
    <w:p>
      <w:pPr>
        <w:spacing w:before="0" w:after="0"/>
      </w:pPr>
    </w:p>
    <w:p>
      <w:r>
        <w:t xml:space="preserve">Povećanje je rezultat porasta osnovice za obračun plaće djelatnicima te stalne oscilacije broja zaposlenih.</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35.067,41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w:t>
            </w:r>
          </w:p>
        </w:tc>
      </w:tr>
    </w:tbl>
    <w:p>
      <w:pPr>
        <w:spacing w:before="0" w:after="0"/>
      </w:pPr>
    </w:p>
    <w:p>
      <w:r>
        <w:t xml:space="preserve">Smanjenje je rezultat manjeg broja djelatnika koji je ostvario pravo na materijalna prava (jubilarna nagrada te ostale pomoći i potpore) te oscilacije broja zaposlenika što dovodi do smanjenja rashoda za prigodne nagrade.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184,1</w:t>
            </w:r>
          </w:p>
        </w:tc>
      </w:tr>
    </w:tbl>
    <w:p>
      <w:pPr>
        <w:spacing w:before="0" w:after="0"/>
      </w:pPr>
    </w:p>
    <w:p>
      <w:r>
        <w:t xml:space="preserve">Veći broj odlazaka djelatnika na izvanučioničku nastavu s učenicima, stručna usavršavanja te sastanci izvan sjedišta Škole što dovodi do povećanja indeksa u 2025..</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42.772,01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27.878,17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w:t>
            </w:r>
          </w:p>
        </w:tc>
      </w:tr>
    </w:tbl>
    <w:p>
      <w:pPr>
        <w:spacing w:before="0" w:after="0"/>
      </w:pPr>
    </w:p>
    <w:p>
      <w:r>
        <w:t xml:space="preserve">Razlog smanjenja indeksa je što smo u 2024. nabavljali lož ulje više puta unutar izvještajnog razdoblja, a u 2025. potreba za nabavom je smanjena te je provedena krajem godine u manjoj količini.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w:t>
            </w:r>
          </w:p>
        </w:tc>
      </w:tr>
    </w:tbl>
    <w:p>
      <w:pPr>
        <w:spacing w:before="0" w:after="0"/>
      </w:pPr>
    </w:p>
    <w:p>
      <w:r>
        <w:t xml:space="preserve">Tijekom 2025. tehničko osoblje škole nije nabavljalo radnu i zaštitnu odjeću i obuću.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5.912,79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18.192,07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307,7</w:t>
            </w:r>
          </w:p>
        </w:tc>
      </w:tr>
    </w:tbl>
    <w:p>
      <w:pPr>
        <w:spacing w:before="0" w:after="0"/>
      </w:pPr>
    </w:p>
    <w:p>
      <w:r>
        <w:t xml:space="preserve">Kontinuirani porast cijena na svjetskom tržištu dovodi do porasta cijene usluga što rezultira povećanjem indeksa u odnosu na 2024. te je u 2025. bilo više potrebe za angažiranjem vanjskih pružatelja usluga prilikom popravaka i održavanja postojeće opreme.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bl>
    <w:p>
      <w:pPr>
        <w:spacing w:before="0" w:after="0"/>
      </w:pPr>
    </w:p>
    <w:p>
      <w:r>
        <w:t xml:space="preserve">Razlog povećanja proizlazi iz potrebe plaćanja dvije novčane naknade zbog nezapošljavanja određene kvote osoba s invaliditetom u 2025. dok smo u 2024. veći dio godine bili obveznici plaćanja jedne naknade jer broj zaposlenih nije prelazio 49 osoba.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73.500,54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6914,4</w:t>
            </w:r>
          </w:p>
        </w:tc>
      </w:tr>
    </w:tbl>
    <w:p>
      <w:pPr>
        <w:spacing w:before="0" w:after="0"/>
      </w:pPr>
    </w:p>
    <w:p>
      <w:r>
        <w:t xml:space="preserve">Najvećim dijelom se odnosi na potraživanja za plaću 12/2025. (71.961,99 EUR) te potraživanja za naknadu zbog nezapošljavanja invalida 12/2025. (194,00 EUR), materijalna prava 12/2025. (1.344,55 EUR).</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prodaje nefinancijske imovine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Na temelju analize predbilance glavne knjige utvrđen je metodološki višak na kontu 97-obračunati prihodi od prodaje nefinancijske imovine u iznosu od 0,01 eura koji proizlazi iz procesa konverzije kune u euro. Navedeno je odlukom ravnatelja prebačeno s konta 97-obračunati prihodi od prodaje nefinancijske imovine na konto 922-rezultat višak/manjak.</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77.232,50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Ukupni manjak prihoda sastoji se od plaće za zaposlene 12/2025., materijalna prava djelatnika 12/2025., naknada zbog nezapošljavanja kvote invalida 12/2025., tekući računi koji još nisu dospjeli na naplatu.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74.277,55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4036,8</w:t>
            </w:r>
          </w:p>
        </w:tc>
      </w:tr>
    </w:tbl>
    <w:p>
      <w:pPr>
        <w:spacing w:before="0" w:after="0"/>
      </w:pPr>
    </w:p>
    <w:p>
      <w:r>
        <w:t xml:space="preserve">Donošenjem novog Pravilnika o proračunskom računovodstvu i računskom planu (NN 158/2023) ukidanjem podskupine 193 u početnom stanju 01.01.2025. zatvorila se podskupina 193, a stanje se preneslo na skupinu 31. U razdoblju 1.1..2025.-31.12.2025. proknjiženo je ukupno trinaest rashoda (12/24-12/2025), a dvanaest prihoda. Sa danom 31.12.2025. proknjižena su potraživanja i obračunati prihodi na skupni 96, a vezano uz plaću 12/2025, materijalna prava 12/2025. te naknadu zbog nezapošljavanja kvote invalida, najam školsih stanova.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77.232,50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Ukupni manjak prihoda sastoji se od plaće za zaposlene 12/2025., materijalna prava djelatnika 12/2025., naknada zbog nezapošljavanja kvote invalida 12/2025., tekući računi koji još nisu dospjeli na naplatu.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28.750,13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Ukupni manjak prihoda sastoji se od plaće za zaposlene 12/2025., materijalna prava djelatnika 12/2025., naknada zbog nezapošljavanja kvote invalida 12/2025., tekući računi koji još nisu dospjeli na naplatu.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69.164,25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Donošenjem novog Pravilnika o proračunskom računovodstvu i računoskom planu (NN 158/2023) te ukidanjem podskupine 193 u 2025. iznos se prenosi na skupinu 31 te se prikazuje potraživanje unutar skupine 96 i 16.</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47.142,39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Zbog objedinjavanja pod jedinstveni račun Karlovačke županije s 30.09.2025. ukinut je žiroračun Srednje škole Slunj te se sredstva prikazuju unutar podskupine 167.</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205,8</w:t>
            </w:r>
          </w:p>
        </w:tc>
      </w:tr>
    </w:tbl>
    <w:p>
      <w:pPr>
        <w:spacing w:before="0" w:after="0"/>
      </w:pPr>
    </w:p>
    <w:p>
      <w:r>
        <w:t xml:space="preserve">Znatno je više nabavljeno instrumenata sredstvima iz apliciranih projekata u 2025..</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47.142,39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Zbog objedinjavanja pod jedinstveni račun Karlovačke županije s 30. rujna 2025. ukinut je žiroračun Srednje škole Slunj te se iznos prenesenih sredstava prikazuje unutar podskupine 167.</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73.500,54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Donošenjem novog Pravilnika o proračunskom računovodstvu i računskom planu (NN15/2023) te ukidanjem podskupine 193 u 2025. iznos se prenosi na skupinu 31 te se prikazuje potraživanje unutar skupine 96 i 16. Iznosi od 73.500,54 odnosi se na potraživanja za plaću za prosinac 2025., materijalna prava djelatnika te naknadu zbog nezapošljavanje kvote invalida.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73.500,54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Donošenjem novog Pravilnika o proračunskom računovodstvu i računskom planu (NN15/2023) te ukidanjem podskupine 193 u 2025. iznos se prenosi na skupinu 31 te se prikazuje potraživanje unutar skupine 96 i 16. Iznosi od 73.500,54 odnosi se na potraživanja za plaću za prosinac 2025., materijalna prava djelatnika te naknadu zbog nezapošljavanje kvote invalida.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44.358,55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objedinjavanja pod jedinstveni račun Karlovačke županije s 30. rujna 2025. ukinut je žiroračun Srednje škole Slunj te se iznos prenesenih sredstava prikazuje unutar podskupine 167.</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69.164,25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Donošenjem novog Pravilnika o proračunskom računovodstvu i računskom planu (NN15/2023) te ukidanjem podskupine 193 u 2025. iznos se prenosi na skupinu 31 te se prikazuje potraživanje unutar skupine 96 i 16. Iznosi od 73.500,54 odnosi se na potraživanja za plaću za prosinac 2025., materijalna prava djelatnika te naknadu zbog nezapošljavanje kvote invalida.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79.418,71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83.405,21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Prikazuje stanje obveza na kraju izvještajnog razdoblja u iznosu od 83.405,21 eura, a odnose se na plaću za prosinac 2025. koja se isplaćuje u siječnju 2025., materijalna prava 12/2025, naknadu zbog nezapošljavanje obvezne kvote invalida 12/2025 te na obveze za povrat u proračun za bolovanje preko HZZO-a.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w:t>
            </w:r>
          </w:p>
        </w:tc>
      </w:tr>
    </w:tbl>
    <w:p>
      <w:pPr>
        <w:spacing w:before="0" w:after="0"/>
      </w:pPr>
    </w:p>
    <w:p>
      <w:r>
        <w:t xml:space="preserve">Odstupanje u stanju s 1. siječnja te 31. prosinca 2025. proizlazi iz činjenice da smo u 2024. od obrta JOIN koji nam je zamjenska kvota zbog nezapošljavanja kvote invalida dobili ukupni račun za ugovoreno razdoblje te se obveza prenosila u 2025. godinu, nakon što je ugovoreno razdoblje završilo novi ugovor je sklopljen na način da se račun izdaje u mjesečnim anuitetima za trajanje ugovorenog razdoblja.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promjena Računskog plana s 1. siječnja 2025. preneseni su iznosi s osnovnog računa 239 na skupinu računa 27 te se stanje koje je predano s 31.12.2024. na navedenim kontima razlikuje od onog  stanja u ovom izvještajnom razdoblju u stanju 1. siječnja 2025.</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w:t>
            </w:r>
          </w:p>
        </w:tc>
      </w:tr>
    </w:tbl>
    <w:p>
      <w:pPr>
        <w:spacing w:before="0" w:after="0"/>
      </w:pPr>
    </w:p>
    <w:p>
      <w:r>
        <w:t xml:space="preserve">Zbog promjena Računskog plana s 1. siječnja 2025. preneseni su iznosi s osnovnog računa 239 na skupinu računa 27 te se stanje koje je predano s 31.12.2024. na navedenim kontima razlikuje od onog  stanja u ovom izvještajnom razdoblju u stanju 1. siječnja 2025.</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49.833,29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-28.750,13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w:t>
            </w:r>
          </w:p>
        </w:tc>
      </w:tr>
    </w:tbl>
    <w:p>
      <w:pPr>
        <w:spacing w:before="0" w:after="0"/>
      </w:pPr>
    </w:p>
    <w:p>
      <w:r>
        <w:t xml:space="preserve">Manjak prihoda ostvarili smo zbog toga što nismo dobili prihode za plaću za 12/2025., naknadu zbog nezapošljavanje određene kvote invalida 12/2025, materijalna prava 12/2025.</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73.500,54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6914,4</w:t>
            </w:r>
          </w:p>
        </w:tc>
      </w:tr>
    </w:tbl>
    <w:p>
      <w:pPr>
        <w:spacing w:before="0" w:after="0"/>
      </w:pPr>
    </w:p>
    <w:p>
      <w:r>
        <w:t xml:space="preserve">Donošenjem novog Pravilnika o proračunskom računovodstvu i računskom planu (NN15/2023) te ukidanjem podskupine 193 u 2025. iznos se prenosi na skupinu 31 te se prikazuje potraživanje unutar skupine 96 i 16. Iznosi od 73.500,54 odnosi se na potraživanja za plaću za prosinac 2025., materijalna prava djelatnika te naknadu zbog nezapošljavanje kvote invalida.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73.500,54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Donošenjem novog Pravilnika o proračunskom računovodstvu i računskom planu (NN15/2023) te ukidanjem podskupine 193 u 2025. iznos se prenosi na skupinu 31 te se prikazuje potraživanje unutar skupine 96 i 16. Iznosi od 73.500,54 odnosi se na potraživanja za plaću za prosinac 2025., materijalna prava djelatnika te naknadu zbog nezapošljavanje kvote invalida.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73.500,54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Donošenjem novog Pravilnika o proračunskom računovodstvu i računskom planu (NN15/2023) te ukidanjem podskupine 193 u 2025. iznos se prenosi na skupinu 31 te se prikazuje potraživanje unutar skupine 96 i 16. Iznosi od 73.500,54 odnosi se na potraživanja za plaću za prosinac 2025., materijalna prava djelatnika te naknadu zbog nezapošljavanje kvote invalida.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prodaje nefinancijske imovine (šifre 971 do 974)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Na temelju analize predbilance glavne knjige utvrđen je metodološki višak na kontu 97- obračunati prihodi od prodaje nefinancijske imovine u iznosu od 0,01 EUR koji proizlazi iz procesa konverzije kune u euro. Navedeno je odlukom ravnatelja prebačeno s konta 97- obračunati prihodi od prodaje nefinancijske imovine na konto 922-rezultat višak/manjak.</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Iznos predstavlja sredstva planirana za isplatu sudske presude koja bi trebala postati pravomoćna u 2026. godini.</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Iznos predstavlja sredstva planirana za isplatu sudske presude koja bi trebala postati pravomoćna u 2026. godini.</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117.859,09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Nedospjela potraživanja su potraživanja za plaću 12/2025.( 71.961,99 EUR), potraživanja za naknadu zbog nezapošljavanja invalida 12/2025. (194,00 EUR), materijalna prava 12/2025. (1.344,55 EUR)te novčana sredstva uplaćena u nadležni proračun (44.358,55 EUR).</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44.358,55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objedinjavanja pod jedinstveni račun Karlovačke županije s 30. rujna 2025. ukinut je žiroračun Srednje škole Slunj te se iznos prenesenih sredstava prikazuje unutar podskupine 167.</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61.847,24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78.211,57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w:t>
            </w:r>
          </w:p>
        </w:tc>
      </w:tr>
    </w:tbl>
    <w:p>
      <w:pPr>
        <w:spacing w:before="0" w:after="0"/>
      </w:pPr>
    </w:p>
    <w:p>
      <w:r>
        <w:t xml:space="preserve">Iznos od 78.211,57 eura nedospjelih obveza najvećim dijelom se odnosi na obveze za plaću za prosinac 2025., materijalna prava 12/2025. te naknadu zbog nezapošljavanja određene kvote invalida 12/2025. te obveze za naknade koje se refundiraju.</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w:t>
            </w:r>
          </w:p>
        </w:tc>
      </w:tr>
    </w:tbl>
    <w:p>
      <w:pPr>
        <w:spacing w:before="0" w:after="0"/>
      </w:pPr>
    </w:p>
    <w:p>
      <w:r>
        <w:t xml:space="preserve">Zbog promjena Računskog plana s 1. siječnja 2025. preneseni su iznosi s osnovnog računa 239 na skupinu računa 27 te se stanje koje je predano s 31.12.2024. na navedenim kontima razlikuje od onog  stanja u ovom izvještajnom razdoblju u stanju 1. siječnja 2025.</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1.011.759,74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1.149.372,47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Ukupni rashodi poslovanja u iznosu od  1.149.372,47 eura klasificirani su prema funkciji 0922 Više srednjoškolsko obrazovanje i 096 Dodatne usluge u obrazovanju.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66.649,28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članku 192. stavku 7. podstavku 3. Pravilnika o proračunskom računovodstvu kao smanjenje prikazan je iznos provedenog ispravka vrijednosti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79.418,71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Prikazuje stanje obveza 1. siječnja 2025. koje iznose 79.418,71 eura.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83.405,21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Prikazuje stanje obveza na kraju izvještajnog razdoblja u iznosu od 83.405,21 eura, a odnose se na plaću za prosinac 2025. koja se isplaćuje u siječnju 2025., materijalna prava 12/2025, naknadu zbog nezapošljavanje obvezne kvote invalida 12/2025 te na obveze za povrat u proračun za bolovanje preko HZZO-a.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Tijekom izvještajnog razdoblja svi računi i stavke koje se prikazuju unutar navedene skupine su podmireni u roku plaćanja.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5.193,64 eura odnosi se na bolovanje na teret HZZO-a.</w:t>
      </w:r>
    </w:p>
    <w:p/>
    <w:p>
      <w:pPr>
        <w:jc w:val="center"/>
        <w:pStyle w:val="Normal"/>
        <w:spacing w:line="240" w:lineRule="auto"/>
        <w:keepNext/>
      </w:pPr>
      <w:r>
        <w:rPr>
          <w:sz w:val="28"/>
          <w:rFonts w:ascii="Times New Roman" w:hAnsi="Times New Roman"/>
        </w:rPr>
        <w:t xml:space="preserve">Bilješka 48.</w:t>
      </w:r>
    </w:p>
    <w:p>
      <w:pPr>
        <w:jc w:val="both"/>
        <w:pStyle w:val="Normal"/>
        <w:spacing w:line="240" w:lineRule="auto"/>
      </w:pPr>
      <w:r>
        <w:rPr>
          <w:b/>
          <w:sz w:val="24"/>
          <w:rFonts w:ascii="Times New Roman" w:hAnsi="Times New Roman"/>
        </w:rPr>
        <w:t xml:space="preserve">EU izvještaj</w:t>
      </w:r>
    </w:p>
    <w:p>
      <w:r>
        <w:t xml:space="preserve">Izvještaj o EU sredstvima prikazuje podatke o ostvarenim prihodima i primitcima, rashodima i izdacima prema izvorima financiranja- nacionalno sufinanciranje i 561 europski socijalni fond plus u tekućem izvještajnom razdoblju. Unutar navedenih izvora financiranja prikazani su prihodi i rashodi za financiranje plaća te ostalih materijalnih davanja za rad pomoćnika u nastavi. U razdoblju od 1. siječnja do 31. prosinca 2025. uočavamo da su prihodi manji od rashoda, a razlog toga je što je plaća za prosinca knjižena s 31.12.2025., a prihod će biti ostvaren tek u siječnju 2026..</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42c2e1cf03e41de" /></Relationships>
</file>