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c1ceba719d040c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21535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SLUNJ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267.629,94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316.794,60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270.338,23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63.460,26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2.708,29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64.210,95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2.708,29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w:t>
            </w:r>
          </w:p>
        </w:tc>
      </w:tr>
    </w:tbl>
    <w:p>
      <w:pPr>
        <w:spacing w:before="0" w:after="0"/>
      </w:pPr>
    </w:p>
    <w:p>
      <w:r>
        <w:t xml:space="preserve">U razdoblju od 1. siječnja do 31. ožujka 2026. prihodi poslovanja ostvareni su u iznosu od 267.629,94 eura. Najznačajnije povećanje prihoda poslovanja ostvareno je iz sredstava državnog proračuna namijenjenih za isplatu plaća i ostalih materijalnih davanja djelatnicima te decentraliziranih sredstava Osnivača. Rashodi poslovanja u razdoblju od 1. siječnja do 31. ožujka 2026. ostvareni su u iznosu od 270.338,23 eura. Najznačajnije povećanje rashoda evidentirano je na rashodima za zaposlene, nabavi lož ulja, tekuće i investicijsko održavanje. Najznačajnije smanjenje rashoda poslovanja bilježi se na rashodima za plaće, naknadama za prijevoz zaposlenika zbog oscilacija broja zaposlenika koji ostvaruju pravo na naknadu troškova prijevoza te naknadi za financijske rashode jer zbog ukidanja žiroračuna škole te prelazak na objedinjenu riznicu Karlovačke županije nemamo izdatke za vođenje računa. U navedenom razdoblju nije bilo ostvarenih prihoda ni rashoda od prodaje nefinancijske imovine. U navedenom razdoblju nije bilo ostvarenih primitaka i izdataka od financijske imovine i zaduženja. U razdoblju od 1. siječnja do 31. ožujka 2026. ostvaren je manjak prihoda i primitaka u iznosu od 2.708,29 EUR. Manjak prihoda i primitaka sastoji se najvećim dijelom od plaće za zaposlene, ostala materijalna davanja, naknadu zbog nezapošljavanja određene kvote invalida koji se knjiže unutar skupine 3 jer je podskupina 193 ukinuta u 2025. godini, te od rashoda za račune vezane uz ožujak 2026. koji još nisu dospjeli na plaćanje. Na temelju analize predbilance glavne knjige utvrđen je metodološki višak na kontu 97- obračunati prihodi od prodaje nefinancijske imovine u iznosu od 0,01 EUR koji proizlazi iz procesa konverzije kune u euro. Navedeno je odlukom ravnatelja u 2025. prebačeno s konta 97- obračunati prihodi od prodaje nefinancijske imovine na konto 922-rezultat višak/manjak. U ožujku 2026. smo izvršili povrat neutrošenih sredstava koja su nam uplaćena u 2025. u iznosu od 2.586,97 EUR, a koja su bila namijenjena za provedbu projekta „Program ulaganja u zajednicu“. Sredstva su Odlukom o raspodjeli viška iz prethodnih godina prenesena u 2026. unutar skupine 922.</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w:t>
            </w:r>
          </w:p>
        </w:tc>
      </w:tr>
    </w:tbl>
    <w:p>
      <w:pPr>
        <w:spacing w:before="0" w:after="0"/>
      </w:pPr>
    </w:p>
    <w:p>
      <w:r>
        <w:t xml:space="preserve">Tekuće donacije odnose se na donacije u sklopu projekta "Program ulaganja u zajednicu" koji se provodi od 2024. u fazama. Početkom 2026. uplaćeno nam je 3.000,00 eura za provedbu inicijative, no u ožujku 2026. izvršili smo povrat neutrošenih sredstava iz 2025. u iznosu od 2.586,97 eura.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40.482,13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Odnosi se na decentralizirana sredstva Osnivača za pokriće rashoda poslovanja za nesmetano odvijanje poslovnih procesa. Razlog povećanja je porast cijena materijala i sirovina na svjetskom tržištu što rezultira porastom cijena roba i usluga.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u tekućem izvještajnom razdoblju nabavljene su licence za čitalačke kodove iz engleskog jezika.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451,6</w:t>
            </w:r>
          </w:p>
        </w:tc>
      </w:tr>
    </w:tbl>
    <w:p>
      <w:pPr>
        <w:spacing w:before="0" w:after="0"/>
      </w:pPr>
    </w:p>
    <w:p>
      <w:r>
        <w:t xml:space="preserve">U tekućem izvještajnom razdoblju 2026. godini konto 312 ostali rashodi za zaposlene veći je u odnosu na isto razdoblje 2025. godine jer je nagrada za uskršnje blagdane obračunata u ovom izvještajnom razdoblju što nije bio slučaj u 2025.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926,6</w:t>
            </w:r>
          </w:p>
        </w:tc>
      </w:tr>
    </w:tbl>
    <w:p>
      <w:pPr>
        <w:spacing w:before="0" w:after="0"/>
      </w:pPr>
    </w:p>
    <w:p>
      <w:r>
        <w:t xml:space="preserve">U tekućem izvještajnom razdoblju izdano je više putnih naloga zbog provođenja školskog kuirikuluma (izvanučionička nastava) te brojnih natjecanja izvan sjedišta Škole što je rezultiralo većim izdacima.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w:t>
            </w:r>
          </w:p>
        </w:tc>
      </w:tr>
    </w:tbl>
    <w:p>
      <w:pPr>
        <w:spacing w:before="0" w:after="0"/>
      </w:pPr>
    </w:p>
    <w:p>
      <w:r>
        <w:t xml:space="preserve">U tekućem izvještajnom razdoblju izdaci za naknadu troškova prijevoza manji su jer je radnicima isplaćena akontacija prijevoza u prosincu 2025. za siječanj 2026. te oscilacija broja zaposlenika i promjena cijene troškova prijevoza po kilometru.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1372,3</w:t>
            </w:r>
          </w:p>
        </w:tc>
      </w:tr>
    </w:tbl>
    <w:p>
      <w:pPr>
        <w:spacing w:before="0" w:after="0"/>
      </w:pPr>
    </w:p>
    <w:p>
      <w:r>
        <w:t xml:space="preserve"> tekućem izvještajnom razdoblju izdano je više putnih naloga zbog provođenja školskog kuirikuluma (izvanučionička nastava) te brojnih natjecanja izvan sjedišta Škole što je rezultiralo većim izdacima.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400,9</w:t>
            </w:r>
          </w:p>
        </w:tc>
      </w:tr>
    </w:tbl>
    <w:p>
      <w:pPr>
        <w:spacing w:before="0" w:after="0"/>
      </w:pPr>
    </w:p>
    <w:p>
      <w:r>
        <w:t xml:space="preserve">Razlog povećanja indeksa je što smo u tekućem izvještajnom razdoblju 2026. nabavljali lož ulje dok u 2025. to nije bio slučaj te porast cijene električne energije.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550,3</w:t>
            </w:r>
          </w:p>
        </w:tc>
      </w:tr>
    </w:tbl>
    <w:p>
      <w:pPr>
        <w:spacing w:before="0" w:after="0"/>
      </w:pPr>
    </w:p>
    <w:p>
      <w:r>
        <w:t xml:space="preserve">Razlog povećanja indeksa je što smo u tekućem izvještajnom razdoblju 2026. nabavljali lož ulje dok u 2025. to nije bio slučaj te porast cijene električne energije.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474,6</w:t>
            </w:r>
          </w:p>
        </w:tc>
      </w:tr>
    </w:tbl>
    <w:p>
      <w:pPr>
        <w:spacing w:before="0" w:after="0"/>
      </w:pPr>
    </w:p>
    <w:p>
      <w:r>
        <w:t xml:space="preserve">U 2025. nabavljena je samo sportska oprema za nastavnika tjelesne i zdravstvene kulture dok je u razdoblju od 1. siječnja 2026. do 31. ožujka 2026. nabavljena radna odjeća i obuća za tehničko osoblje.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271,1</w:t>
            </w:r>
          </w:p>
        </w:tc>
      </w:tr>
    </w:tbl>
    <w:p>
      <w:pPr>
        <w:spacing w:before="0" w:after="0"/>
      </w:pPr>
    </w:p>
    <w:p>
      <w:r>
        <w:t xml:space="preserve">Porast cijena usluga doveo je do porasta indeksa u odnosu na 2026..</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Početkom 2025. godine bilo je hitnih intervencija te izrade atesta od strane Zaštite projekt dok u tekućem izvještajnom razdoblju nije bilo potrebe za navedenim aktivnostima.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223,1</w:t>
            </w:r>
          </w:p>
        </w:tc>
      </w:tr>
    </w:tbl>
    <w:p>
      <w:pPr>
        <w:spacing w:before="0" w:after="0"/>
      </w:pPr>
    </w:p>
    <w:p>
      <w:r>
        <w:t xml:space="preserve">U tekućem izvještajnom razdoblju bili smo obvezni plaćanja naknade zbog nezapošljavanje kvote invalida za dvije osobe.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w:t>
            </w:r>
          </w:p>
        </w:tc>
      </w:tr>
    </w:tbl>
    <w:p>
      <w:pPr>
        <w:spacing w:before="0" w:after="0"/>
      </w:pPr>
    </w:p>
    <w:p>
      <w:r>
        <w:t xml:space="preserve">U tekućem izvještajnom razdoblju bili smo obvezni plaćanja naknade zbog nezapošljavanje kvote invalida za dvije osobe.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63.460,26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w:t>
            </w:r>
          </w:p>
        </w:tc>
      </w:tr>
    </w:tbl>
    <w:p>
      <w:pPr>
        <w:spacing w:before="0" w:after="0"/>
      </w:pPr>
    </w:p>
    <w:p>
      <w:r>
        <w:t xml:space="preserve">Manjak prihoda sastoji se najvećim dijelom od plaće za zaposlene, ostala materijalna davanja, naknadu zbog nezapošljavanja određene kvote invalida koji se knjiže unutar skupine 3 jer je podskupina 193 ukinuta u 2025. godini, te od rashoda za račune vezane uz ožujak 2026. koji još nisu dospjeli na plaćanje.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68.320,78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77.504,21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Najvećim dijelom se odnosi na potraživanja za plaće 03/2026. (73.484,21 EUR),potraživanja za godišnju nagradu povodom uskrsnih blagdana (3.600,00 EUR) te naknadu zbog nezapošljavanja invalida 03/2026. (420,00 EUR).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u istom izvještajnom razdoblju nabavljene su licence za čitalačke kodove iz engleskog jezika što nije bio slučaj u 2026..</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Na temelju analize predbilance glavne knjige utvrđen je metodološki višak na kontu 97- obračunati prihodi od prodaje nefinancijske imovine u iznosu od 0,01 EUR koji proizlazi iz procesa konverzije kune u euro. Navedeno je odlukom ravnatelja u 2025. prebačeno s konta 97- obračunati prihodi od prodaje nefinancijske imovine na konto 922-rezultat višak/manjak.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64.210,95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w:t>
            </w:r>
          </w:p>
        </w:tc>
      </w:tr>
    </w:tbl>
    <w:p>
      <w:pPr>
        <w:spacing w:before="0" w:after="0"/>
      </w:pPr>
    </w:p>
    <w:p>
      <w:r>
        <w:t xml:space="preserve">Manjak prihoda sastoji se najvećim dijelom od plaće za zaposlene, ostala materijalna davanja, naknadu zbog nezapošljavanja određene kvote invalida koji se knjiže unutar skupine 3 jer je podskupina 193 ukinuta u 2025. godini, te od rashoda za račune vezane uz ožujak 2026. koji još nisu dospjeli na plaćanje.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55.202,04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preneseni  sastoji se od plaće za zaposlene za prosinac 2025., naknade zbog nezapošljavanja kvote invalida za prosinac 2025.,tekući računi koji još nisu dospjeli na naplatu.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69.097,80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78.281,22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Iznos se sastoji od potraživanja sredstava za plaću za ožujak 2026., naknadu zbog nezapošljavanja invalida za ožujak 2026., nagradu za uskršnje blagdane, najam školskih stanova.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31.458,42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w:t>
            </w:r>
          </w:p>
        </w:tc>
      </w:tr>
    </w:tbl>
    <w:p>
      <w:pPr>
        <w:spacing w:before="0" w:after="0"/>
      </w:pPr>
    </w:p>
    <w:p>
      <w:r>
        <w:t xml:space="preserve">Manjak prihoda i primitaka za pokriće u sljedećem razdoblju odnosi se na manjak za plaće za ožujak 2026., naknadu zbog nezapošljavanja invalida za ožujka 2026. te računi za tekuće poslovanje čiji je trošak nastao 31.03.2026. godine, ali nisu plaćeni u izvještajnom razdoblju već će biti plaćeni u travnju.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51.753,44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objedinjavanja pod jedinstveni račun Karlovačke županije s 30.09.2025. ukinut je žiroračun Srednje škole Slunj te se sredstva prikazuju unutar podskupine 167.</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r>
        <w:t xml:space="preserve">Izvještaj o EU sredstvima prikazuje podatke o ostvarenim prihodima i primitcima, rashodima i izdacima prema izvorima financiranja- nacionalno sufinanciranje i 561 europski socijalni fond plus u tekućem izvještajnom razdoblju. Unutar navedenih izvora financiranja prikazani su prihodi i rashodi za financiranje plaća te ostalih materijalnih davanja za rad pomoćnika u nastavi. U razdoblju od 1. siječnja do 31. ožujka 2026. uočavamo da su prihodi manji od rashoda, a razlog toga je što je plaća za ožujak knjižena s 31.3.2026., a prihod će biti ostvaren u travnju 2026. te nagrada za uskršnje blagdane je knjižena na teret ožujka 2026., a isplata će biti u travnju 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a95c2785ee5480d" /></Relationships>
</file>